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3"/>
        <w:gridCol w:w="794"/>
        <w:gridCol w:w="2154"/>
        <w:gridCol w:w="2041"/>
      </w:tblGrid>
      <w:tr>
        <w:trPr>
          <w:trHeight w:val="438" w:hRule="atLeast"/>
        </w:trPr>
        <w:tc>
          <w:tcPr>
            <w:tcW w:w="5783" w:type="dxa"/>
            <w:shd w:val="clear" w:color="auto" w:fill="D7D7D7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1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FLUXO DE CAIXA DAS ATIVIDADES OPERACIONAIS</w:t>
            </w:r>
          </w:p>
        </w:tc>
        <w:tc>
          <w:tcPr>
            <w:tcW w:w="794" w:type="dxa"/>
            <w:shd w:val="clear" w:color="auto" w:fill="D7D7D7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254"/>
              <w:rPr>
                <w:b/>
                <w:sz w:val="11"/>
              </w:rPr>
            </w:pPr>
            <w:r>
              <w:rPr>
                <w:b/>
                <w:sz w:val="11"/>
              </w:rPr>
              <w:t>Nota</w:t>
            </w: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19" w:right="8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3" w:right="74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Ingressos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13.972.366,10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13.029.023,60</w:t>
            </w:r>
          </w:p>
        </w:tc>
      </w:tr>
      <w:tr>
        <w:trPr>
          <w:trHeight w:val="211" w:hRule="atLeast"/>
        </w:trPr>
        <w:tc>
          <w:tcPr>
            <w:tcW w:w="5783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Receitas derivadas e originárias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ind w:right="273"/>
              <w:rPr>
                <w:b/>
                <w:sz w:val="11"/>
              </w:rPr>
            </w:pPr>
            <w:r>
              <w:rPr>
                <w:b/>
                <w:sz w:val="11"/>
              </w:rPr>
              <w:t>1FC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719.038,44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892.693,77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Transferências correntes e recebidas</w:t>
            </w:r>
          </w:p>
        </w:tc>
        <w:tc>
          <w:tcPr>
            <w:tcW w:w="794" w:type="dxa"/>
          </w:tcPr>
          <w:p>
            <w:pPr>
              <w:pStyle w:val="TableParagraph"/>
              <w:ind w:right="273"/>
              <w:rPr>
                <w:b/>
                <w:sz w:val="11"/>
              </w:rPr>
            </w:pPr>
            <w:r>
              <w:rPr>
                <w:b/>
                <w:sz w:val="11"/>
              </w:rPr>
              <w:t>2FC</w:t>
            </w:r>
          </w:p>
        </w:tc>
        <w:tc>
          <w:tcPr>
            <w:tcW w:w="2154" w:type="dxa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13.223.577,93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12.136.329,83</w:t>
            </w:r>
          </w:p>
        </w:tc>
      </w:tr>
      <w:tr>
        <w:trPr>
          <w:trHeight w:val="211" w:hRule="atLeast"/>
        </w:trPr>
        <w:tc>
          <w:tcPr>
            <w:tcW w:w="5783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Outros ingressos operacionais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29.749,73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Desembolsos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13.979.036,01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12.994.213,87</w:t>
            </w:r>
          </w:p>
        </w:tc>
      </w:tr>
      <w:tr>
        <w:trPr>
          <w:trHeight w:val="211" w:hRule="atLeast"/>
        </w:trPr>
        <w:tc>
          <w:tcPr>
            <w:tcW w:w="5783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Pessoal e demais despesas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ind w:right="273"/>
              <w:rPr>
                <w:b/>
                <w:sz w:val="11"/>
              </w:rPr>
            </w:pPr>
            <w:r>
              <w:rPr>
                <w:b/>
                <w:sz w:val="11"/>
              </w:rPr>
              <w:t>3FC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10.760.551,93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10.075.962,20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Transferências concedidas</w:t>
            </w:r>
          </w:p>
        </w:tc>
        <w:tc>
          <w:tcPr>
            <w:tcW w:w="794" w:type="dxa"/>
          </w:tcPr>
          <w:p>
            <w:pPr>
              <w:pStyle w:val="TableParagraph"/>
              <w:ind w:right="273"/>
              <w:rPr>
                <w:b/>
                <w:sz w:val="11"/>
              </w:rPr>
            </w:pPr>
            <w:r>
              <w:rPr>
                <w:b/>
                <w:sz w:val="11"/>
              </w:rPr>
              <w:t>2FC</w:t>
            </w:r>
          </w:p>
        </w:tc>
        <w:tc>
          <w:tcPr>
            <w:tcW w:w="2154" w:type="dxa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872.733,00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744.266,59</w:t>
            </w:r>
          </w:p>
        </w:tc>
      </w:tr>
      <w:tr>
        <w:trPr>
          <w:trHeight w:val="211" w:hRule="atLeast"/>
        </w:trPr>
        <w:tc>
          <w:tcPr>
            <w:tcW w:w="5783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Outros desembolsos operacionais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2.345.751,08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2.173.985,08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Fluxo de caixa líquido das atividades operacionais (I)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(6.669,91)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34.809,73</w:t>
            </w:r>
          </w:p>
        </w:tc>
      </w:tr>
      <w:tr>
        <w:trPr>
          <w:trHeight w:val="438" w:hRule="atLeast"/>
        </w:trPr>
        <w:tc>
          <w:tcPr>
            <w:tcW w:w="5783" w:type="dxa"/>
            <w:shd w:val="clear" w:color="auto" w:fill="D7D7D7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1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FLUXO DE CAIXA DAS ATIVIDADES DE INVESTIMENTO</w:t>
            </w:r>
          </w:p>
        </w:tc>
        <w:tc>
          <w:tcPr>
            <w:tcW w:w="794" w:type="dxa"/>
            <w:shd w:val="clear" w:color="auto" w:fill="D7D7D7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254"/>
              <w:rPr>
                <w:b/>
                <w:sz w:val="11"/>
              </w:rPr>
            </w:pPr>
            <w:r>
              <w:rPr>
                <w:b/>
                <w:sz w:val="11"/>
              </w:rPr>
              <w:t>Nota</w:t>
            </w: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19" w:right="8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3" w:right="74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Desembolsos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439.884,27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736.084,96</w:t>
            </w:r>
          </w:p>
        </w:tc>
      </w:tr>
      <w:tr>
        <w:trPr>
          <w:trHeight w:val="211" w:hRule="atLeast"/>
        </w:trPr>
        <w:tc>
          <w:tcPr>
            <w:tcW w:w="5783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Aquisição de ativo não circulante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401.267,09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735.812,20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Outros desembolsos de investimentos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38.617,18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272,76</w:t>
            </w:r>
          </w:p>
        </w:tc>
      </w:tr>
      <w:tr>
        <w:trPr>
          <w:trHeight w:val="211" w:hRule="atLeast"/>
        </w:trPr>
        <w:tc>
          <w:tcPr>
            <w:tcW w:w="5783" w:type="dxa"/>
            <w:shd w:val="clear" w:color="auto" w:fill="DFDFDF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Fluxo de caixa líquido das atividades de investimento (II)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(439.884,27)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(736.084,96)</w:t>
            </w:r>
          </w:p>
        </w:tc>
      </w:tr>
      <w:tr>
        <w:trPr>
          <w:trHeight w:val="438" w:hRule="atLeast"/>
        </w:trPr>
        <w:tc>
          <w:tcPr>
            <w:tcW w:w="5783" w:type="dxa"/>
            <w:shd w:val="clear" w:color="auto" w:fill="D7D7D7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0"/>
              <w:ind w:left="1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FLUXO DE CAIXA DAS ATIVIDADES DE FINANCIAMENTO</w:t>
            </w:r>
          </w:p>
        </w:tc>
        <w:tc>
          <w:tcPr>
            <w:tcW w:w="794" w:type="dxa"/>
            <w:shd w:val="clear" w:color="auto" w:fill="D7D7D7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254"/>
              <w:rPr>
                <w:b/>
                <w:sz w:val="11"/>
              </w:rPr>
            </w:pPr>
            <w:r>
              <w:rPr>
                <w:b/>
                <w:sz w:val="11"/>
              </w:rPr>
              <w:t>Nota</w:t>
            </w: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19" w:right="8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3" w:right="74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Ingressos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327.084,31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81.587,34</w:t>
            </w:r>
          </w:p>
        </w:tc>
      </w:tr>
      <w:tr>
        <w:trPr>
          <w:trHeight w:val="211" w:hRule="atLeast"/>
        </w:trPr>
        <w:tc>
          <w:tcPr>
            <w:tcW w:w="5783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Transferências de capital recebidos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327.084,31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81.587,34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Fluxo de caixa das atividades de financiamento (III)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327.084,31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81.587,34</w:t>
            </w:r>
          </w:p>
        </w:tc>
      </w:tr>
      <w:tr>
        <w:trPr>
          <w:trHeight w:val="438" w:hRule="atLeast"/>
        </w:trPr>
        <w:tc>
          <w:tcPr>
            <w:tcW w:w="5783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94" w:type="dxa"/>
            <w:shd w:val="clear" w:color="auto" w:fill="D7D7D7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before="0"/>
              <w:ind w:right="254"/>
              <w:rPr>
                <w:b/>
                <w:sz w:val="11"/>
              </w:rPr>
            </w:pPr>
            <w:r>
              <w:rPr>
                <w:b/>
                <w:sz w:val="11"/>
              </w:rPr>
              <w:t>Nota</w:t>
            </w: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19" w:right="80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3" w:right="74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GERAÇÃO LÍQUIDA DE CAIXA E EQUIVALENTE DE CAIXA (I + II + III)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(119.469,87)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rPr>
                <w:b/>
                <w:sz w:val="11"/>
              </w:rPr>
            </w:pPr>
            <w:r>
              <w:rPr>
                <w:b/>
                <w:sz w:val="11"/>
              </w:rPr>
              <w:t>(619.687,89)</w:t>
            </w:r>
          </w:p>
        </w:tc>
      </w:tr>
      <w:tr>
        <w:trPr>
          <w:trHeight w:val="211" w:hRule="atLeast"/>
        </w:trPr>
        <w:tc>
          <w:tcPr>
            <w:tcW w:w="5783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Caixa e Equivalente de caixa inicial</w:t>
            </w:r>
          </w:p>
        </w:tc>
        <w:tc>
          <w:tcPr>
            <w:tcW w:w="794" w:type="dxa"/>
            <w:shd w:val="clear" w:color="auto" w:fill="DFDFD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1.155.124,69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1.774.812,58</w:t>
            </w:r>
          </w:p>
        </w:tc>
      </w:tr>
      <w:tr>
        <w:trPr>
          <w:trHeight w:val="211" w:hRule="atLeast"/>
        </w:trPr>
        <w:tc>
          <w:tcPr>
            <w:tcW w:w="5783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Caixa e Equivalente de caixa final</w:t>
            </w:r>
          </w:p>
        </w:tc>
        <w:tc>
          <w:tcPr>
            <w:tcW w:w="79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1.035.654,82</w:t>
            </w:r>
          </w:p>
        </w:tc>
        <w:tc>
          <w:tcPr>
            <w:tcW w:w="2041" w:type="dxa"/>
          </w:tcPr>
          <w:p>
            <w:pPr>
              <w:pStyle w:val="TableParagraph"/>
              <w:ind w:right="1"/>
              <w:rPr>
                <w:sz w:val="11"/>
              </w:rPr>
            </w:pPr>
            <w:r>
              <w:rPr>
                <w:sz w:val="11"/>
              </w:rPr>
              <w:t>1.155.124,69</w:t>
            </w:r>
          </w:p>
        </w:tc>
      </w:tr>
    </w:tbl>
    <w:p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6"/>
        <w:gridCol w:w="2154"/>
        <w:gridCol w:w="2041"/>
      </w:tblGrid>
      <w:tr>
        <w:trPr>
          <w:trHeight w:val="211" w:hRule="atLeast"/>
        </w:trPr>
        <w:tc>
          <w:tcPr>
            <w:tcW w:w="10771" w:type="dxa"/>
            <w:gridSpan w:val="3"/>
            <w:shd w:val="clear" w:color="auto" w:fill="D7D7D7"/>
          </w:tcPr>
          <w:p>
            <w:pPr>
              <w:pStyle w:val="TableParagraph"/>
              <w:spacing w:before="28"/>
              <w:ind w:left="2689" w:right="267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QUADRO 1FC - RECEITAS DERIVADAS E ORIGINÁRIAS</w:t>
            </w:r>
          </w:p>
        </w:tc>
      </w:tr>
      <w:tr>
        <w:trPr>
          <w:trHeight w:val="438" w:hRule="atLeast"/>
        </w:trPr>
        <w:tc>
          <w:tcPr>
            <w:tcW w:w="657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20" w:right="8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4" w:right="7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Receita Tributária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457.898,32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554.923,01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Receita de Contribuições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23.122,01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20.016,79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Receita Patrimonial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200,00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38.639,50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Receita de Serviços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127.189,92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79.368,46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Remuneração das Disponibilidades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30.718,55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96.388,85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Outras Receitas Derivadas e Originárias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79.909,64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103.357,16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Receitas Derivadas e Originárias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719.038,44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892.693,77</w:t>
            </w:r>
          </w:p>
        </w:tc>
      </w:tr>
    </w:tbl>
    <w:p>
      <w:pPr>
        <w:pStyle w:val="BodyText"/>
        <w:spacing w:before="6" w:after="1"/>
        <w:rPr>
          <w:rFonts w:ascii="Times New Roman"/>
          <w:sz w:val="1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6"/>
        <w:gridCol w:w="2154"/>
        <w:gridCol w:w="2041"/>
      </w:tblGrid>
      <w:tr>
        <w:trPr>
          <w:trHeight w:val="211" w:hRule="atLeast"/>
        </w:trPr>
        <w:tc>
          <w:tcPr>
            <w:tcW w:w="10771" w:type="dxa"/>
            <w:gridSpan w:val="3"/>
            <w:shd w:val="clear" w:color="auto" w:fill="D7D7D7"/>
          </w:tcPr>
          <w:p>
            <w:pPr>
              <w:pStyle w:val="TableParagraph"/>
              <w:spacing w:before="28"/>
              <w:ind w:left="2688" w:right="267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QUADRO 2FC - TRANSFERÊNCIAS RECEBIDAS E CONCEDIDAS</w:t>
            </w:r>
          </w:p>
        </w:tc>
      </w:tr>
      <w:tr>
        <w:trPr>
          <w:trHeight w:val="438" w:hRule="atLeast"/>
        </w:trPr>
        <w:tc>
          <w:tcPr>
            <w:tcW w:w="657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3"/>
              <w:ind w:left="1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TRANSFERÊNCIAS CORRENTES RECEBIDAS</w:t>
            </w: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20" w:right="8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4" w:right="7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Intergovernamentais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11.734.727,57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10.672.950,76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33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da União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8.284.236,07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7.577.613,84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33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de Estados e Distrito Federal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3.450.491,50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3.095.336,92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Intragovernamentais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50.043,65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64.324,26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Outras transferências correntes recebidas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1.438.806,71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1.399.054,81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transferências recebidas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13.223.577,93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12.136.329,83</w:t>
            </w:r>
          </w:p>
        </w:tc>
      </w:tr>
      <w:tr>
        <w:trPr>
          <w:trHeight w:val="438" w:hRule="atLeast"/>
        </w:trPr>
        <w:tc>
          <w:tcPr>
            <w:tcW w:w="657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44" w:lineRule="exact" w:before="113"/>
              <w:ind w:left="1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TRANSFERÊNCIAS CONCEDIDAS</w:t>
            </w: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20" w:right="8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4" w:right="7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Intergovernamentais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71.568,07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64.266,59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334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de Estados e Distrito Federal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71.568,07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64.266,59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Intragovernamentais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701.164,93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680.000,00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Outras transferências concedidas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100.000,00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0,00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das transferências concedidas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872.733,00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744.266,59</w:t>
            </w:r>
          </w:p>
        </w:tc>
      </w:tr>
    </w:tbl>
    <w:p>
      <w:pPr>
        <w:pStyle w:val="BodyText"/>
        <w:spacing w:before="6" w:after="1"/>
        <w:rPr>
          <w:rFonts w:ascii="Times New Roman"/>
          <w:sz w:val="18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6"/>
        <w:gridCol w:w="2154"/>
        <w:gridCol w:w="2041"/>
      </w:tblGrid>
      <w:tr>
        <w:trPr>
          <w:trHeight w:val="211" w:hRule="atLeast"/>
        </w:trPr>
        <w:tc>
          <w:tcPr>
            <w:tcW w:w="10771" w:type="dxa"/>
            <w:gridSpan w:val="3"/>
            <w:shd w:val="clear" w:color="auto" w:fill="D7D7D7"/>
          </w:tcPr>
          <w:p>
            <w:pPr>
              <w:pStyle w:val="TableParagraph"/>
              <w:spacing w:before="28"/>
              <w:ind w:left="2690" w:right="267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QUADRO 3FC - DESEMBOLSO DE PESSOAL E DEMAIS DESPESAS POR FUNÇÃO</w:t>
            </w:r>
          </w:p>
        </w:tc>
      </w:tr>
      <w:tr>
        <w:trPr>
          <w:trHeight w:val="438" w:hRule="atLeast"/>
        </w:trPr>
        <w:tc>
          <w:tcPr>
            <w:tcW w:w="657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20" w:right="8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4" w:right="7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Administração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1.635.521,15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1.563.368,43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Assistência Social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632.326,67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647.314,15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Previdência Social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172.575,08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150.078,01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Saúde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2.546.848,50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2.053.790,89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Educação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3.179.412,91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2.941.318,21</w:t>
            </w:r>
          </w:p>
        </w:tc>
      </w:tr>
    </w:tbl>
    <w:p>
      <w:pPr>
        <w:spacing w:after="0"/>
        <w:rPr>
          <w:sz w:val="11"/>
        </w:rPr>
        <w:sectPr>
          <w:headerReference w:type="default" r:id="rId5"/>
          <w:footerReference w:type="default" r:id="rId6"/>
          <w:type w:val="continuous"/>
          <w:pgSz w:w="11910" w:h="16840"/>
          <w:pgMar w:header="584" w:footer="516" w:top="1440" w:bottom="700" w:left="460" w:right="440"/>
          <w:pgNumType w:start="1"/>
        </w:sectPr>
      </w:pPr>
    </w:p>
    <w:p>
      <w:pPr>
        <w:pStyle w:val="BodyText"/>
        <w:spacing w:before="6" w:after="1"/>
        <w:rPr>
          <w:rFonts w:ascii="Times New Roman"/>
          <w:sz w:val="20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6"/>
        <w:gridCol w:w="2154"/>
        <w:gridCol w:w="2041"/>
      </w:tblGrid>
      <w:tr>
        <w:trPr>
          <w:trHeight w:val="211" w:hRule="atLeast"/>
        </w:trPr>
        <w:tc>
          <w:tcPr>
            <w:tcW w:w="10771" w:type="dxa"/>
            <w:gridSpan w:val="3"/>
            <w:shd w:val="clear" w:color="auto" w:fill="D7D7D7"/>
          </w:tcPr>
          <w:p>
            <w:pPr>
              <w:pStyle w:val="TableParagraph"/>
              <w:spacing w:before="28"/>
              <w:ind w:left="2690" w:right="267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QUADRO 3FC - DESEMBOLSO DE PESSOAL E DEMAIS DESPESAS POR FUNÇÃO</w:t>
            </w:r>
          </w:p>
        </w:tc>
      </w:tr>
      <w:tr>
        <w:trPr>
          <w:trHeight w:val="438" w:hRule="atLeast"/>
        </w:trPr>
        <w:tc>
          <w:tcPr>
            <w:tcW w:w="6576" w:type="dxa"/>
            <w:shd w:val="clear" w:color="auto" w:fill="D7D7D7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820" w:right="8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Atual</w:t>
            </w:r>
          </w:p>
        </w:tc>
        <w:tc>
          <w:tcPr>
            <w:tcW w:w="2041" w:type="dxa"/>
            <w:shd w:val="clear" w:color="auto" w:fill="D7D7D7"/>
          </w:tcPr>
          <w:p>
            <w:pPr>
              <w:pStyle w:val="TableParagraph"/>
              <w:spacing w:line="249" w:lineRule="auto" w:before="88"/>
              <w:ind w:left="764" w:right="747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Exercício </w:t>
            </w:r>
            <w:r>
              <w:rPr>
                <w:b/>
                <w:w w:val="105"/>
                <w:sz w:val="11"/>
              </w:rPr>
              <w:t>Anterior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Cultura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28.124,19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35.208,59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Urbanismo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482.813,12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559.260,78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Gestão Ambiental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39.347,64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55.795,40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Agricultura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649.207,34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670.838,92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Comércio e Serviços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51.271,25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95.501,55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1.055.016,08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1.140.399,82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Desporto e Lazer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20.780,11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17.942,54</w:t>
            </w:r>
          </w:p>
        </w:tc>
      </w:tr>
      <w:tr>
        <w:trPr>
          <w:trHeight w:val="211" w:hRule="atLeast"/>
        </w:trPr>
        <w:tc>
          <w:tcPr>
            <w:tcW w:w="6576" w:type="dxa"/>
          </w:tcPr>
          <w:p>
            <w:pPr>
              <w:pStyle w:val="TableParagraph"/>
              <w:ind w:left="17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Encargos Especiais</w:t>
            </w:r>
          </w:p>
        </w:tc>
        <w:tc>
          <w:tcPr>
            <w:tcW w:w="2154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267.307,89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sz w:val="11"/>
              </w:rPr>
            </w:pPr>
            <w:r>
              <w:rPr>
                <w:sz w:val="11"/>
              </w:rPr>
              <w:t>145.144,91</w:t>
            </w:r>
          </w:p>
        </w:tc>
      </w:tr>
      <w:tr>
        <w:trPr>
          <w:trHeight w:val="211" w:hRule="atLeast"/>
        </w:trPr>
        <w:tc>
          <w:tcPr>
            <w:tcW w:w="6576" w:type="dxa"/>
            <w:shd w:val="clear" w:color="auto" w:fill="DFDFDF"/>
          </w:tcPr>
          <w:p>
            <w:pPr>
              <w:pStyle w:val="TableParagraph"/>
              <w:ind w:left="15"/>
              <w:jc w:val="lef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dos Desembolsos de Pessoal e Demais Despesas por Função</w:t>
            </w:r>
          </w:p>
        </w:tc>
        <w:tc>
          <w:tcPr>
            <w:tcW w:w="2154" w:type="dxa"/>
            <w:shd w:val="clear" w:color="auto" w:fill="DFDFDF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10.760.551,93</w:t>
            </w:r>
          </w:p>
        </w:tc>
        <w:tc>
          <w:tcPr>
            <w:tcW w:w="2041" w:type="dxa"/>
            <w:shd w:val="clear" w:color="auto" w:fill="DFDFDF"/>
          </w:tcPr>
          <w:p>
            <w:pPr>
              <w:pStyle w:val="TableParagraph"/>
              <w:rPr>
                <w:b/>
                <w:sz w:val="11"/>
              </w:rPr>
            </w:pPr>
            <w:r>
              <w:rPr>
                <w:b/>
                <w:sz w:val="11"/>
              </w:rPr>
              <w:t>10.075.962,20</w:t>
            </w:r>
          </w:p>
        </w:tc>
      </w:tr>
    </w:tbl>
    <w:p>
      <w:pPr>
        <w:pStyle w:val="BodyText"/>
        <w:spacing w:before="10"/>
        <w:rPr>
          <w:rFonts w:ascii="Times New Roman"/>
        </w:rPr>
      </w:pPr>
    </w:p>
    <w:p>
      <w:pPr>
        <w:spacing w:line="247" w:lineRule="auto" w:before="100"/>
        <w:ind w:left="123" w:right="626" w:firstLine="0"/>
        <w:jc w:val="left"/>
        <w:rPr>
          <w:sz w:val="13"/>
        </w:rPr>
      </w:pPr>
      <w:r>
        <w:rPr>
          <w:w w:val="105"/>
          <w:sz w:val="13"/>
        </w:rPr>
        <w:t>Nota:</w:t>
      </w:r>
      <w:r>
        <w:rPr>
          <w:spacing w:val="-12"/>
          <w:w w:val="105"/>
          <w:sz w:val="13"/>
        </w:rPr>
        <w:t> </w:t>
      </w:r>
      <w:r>
        <w:rPr>
          <w:w w:val="105"/>
          <w:sz w:val="13"/>
        </w:rPr>
        <w:t>A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Demonstração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dos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Fluxos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de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Caixa</w:t>
      </w:r>
      <w:r>
        <w:rPr>
          <w:spacing w:val="-12"/>
          <w:w w:val="105"/>
          <w:sz w:val="13"/>
        </w:rPr>
        <w:t> </w:t>
      </w:r>
      <w:r>
        <w:rPr>
          <w:w w:val="105"/>
          <w:sz w:val="13"/>
        </w:rPr>
        <w:t>é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elaborada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pelo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método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direto,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isto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é,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evidencia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somente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as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movimentações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ocorridas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no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caixa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e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seus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equivalentes</w:t>
      </w:r>
      <w:r>
        <w:rPr>
          <w:spacing w:val="-11"/>
          <w:w w:val="105"/>
          <w:sz w:val="13"/>
        </w:rPr>
        <w:t> </w:t>
      </w:r>
      <w:r>
        <w:rPr>
          <w:w w:val="105"/>
          <w:sz w:val="13"/>
        </w:rPr>
        <w:t>(bancos). Os valores apresentados consideram a movimentação das contas Intra</w:t>
      </w:r>
      <w:r>
        <w:rPr>
          <w:spacing w:val="-15"/>
          <w:w w:val="105"/>
          <w:sz w:val="13"/>
        </w:rPr>
        <w:t> </w:t>
      </w:r>
      <w:r>
        <w:rPr>
          <w:w w:val="105"/>
          <w:sz w:val="13"/>
        </w:rPr>
        <w:t>OFSS.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201.673004pt,11.712564pt" to="277.493174pt,11.712564pt" stroked="true" strokeweight=".4125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294.740479pt,11.712564pt" to="370.628602pt,11.712564pt" stroked="true" strokeweight=".41256pt" strokecolor="#000000">
            <v:stroke dashstyle="solid"/>
            <w10:wrap type="topAndBottom"/>
          </v:line>
        </w:pict>
      </w:r>
    </w:p>
    <w:p>
      <w:pPr>
        <w:pStyle w:val="BodyText"/>
        <w:tabs>
          <w:tab w:pos="1861" w:val="left" w:leader="none"/>
        </w:tabs>
        <w:spacing w:line="100" w:lineRule="exact"/>
        <w:ind w:right="478"/>
        <w:jc w:val="center"/>
        <w:rPr>
          <w:rFonts w:ascii="Lucida Console"/>
        </w:rPr>
      </w:pPr>
      <w:r>
        <w:rPr>
          <w:rFonts w:ascii="Lucida Console"/>
          <w:w w:val="105"/>
        </w:rPr>
        <w:t>VOLMIR</w:t>
      </w:r>
      <w:r>
        <w:rPr>
          <w:rFonts w:ascii="Lucida Console"/>
          <w:spacing w:val="-12"/>
          <w:w w:val="105"/>
        </w:rPr>
        <w:t> </w:t>
      </w:r>
      <w:r>
        <w:rPr>
          <w:rFonts w:ascii="Lucida Console"/>
          <w:w w:val="105"/>
        </w:rPr>
        <w:t>PEDRO</w:t>
      </w:r>
      <w:r>
        <w:rPr>
          <w:rFonts w:ascii="Lucida Console"/>
          <w:spacing w:val="-11"/>
          <w:w w:val="105"/>
        </w:rPr>
        <w:t> </w:t>
      </w:r>
      <w:r>
        <w:rPr>
          <w:rFonts w:ascii="Lucida Console"/>
          <w:w w:val="105"/>
        </w:rPr>
        <w:t>CAPITANIO</w:t>
        <w:tab/>
        <w:t>CARLOS HENRIQUE</w:t>
      </w:r>
      <w:r>
        <w:rPr>
          <w:rFonts w:ascii="Lucida Console"/>
          <w:spacing w:val="-4"/>
          <w:w w:val="105"/>
        </w:rPr>
        <w:t> </w:t>
      </w:r>
      <w:r>
        <w:rPr>
          <w:rFonts w:ascii="Lucida Console"/>
          <w:w w:val="105"/>
        </w:rPr>
        <w:t>HEFLER</w:t>
      </w:r>
    </w:p>
    <w:p>
      <w:pPr>
        <w:pStyle w:val="BodyText"/>
        <w:tabs>
          <w:tab w:pos="2206" w:val="left" w:leader="none"/>
        </w:tabs>
        <w:spacing w:before="4"/>
        <w:ind w:right="822"/>
        <w:jc w:val="center"/>
        <w:rPr>
          <w:rFonts w:ascii="Lucida Console"/>
        </w:rPr>
      </w:pPr>
      <w:r>
        <w:rPr>
          <w:rFonts w:ascii="Lucida Console"/>
          <w:w w:val="105"/>
        </w:rPr>
        <w:t>PREFEITO</w:t>
      </w:r>
      <w:r>
        <w:rPr>
          <w:rFonts w:ascii="Lucida Console"/>
          <w:spacing w:val="-15"/>
          <w:w w:val="105"/>
        </w:rPr>
        <w:t> </w:t>
      </w:r>
      <w:r>
        <w:rPr>
          <w:rFonts w:ascii="Lucida Console"/>
          <w:w w:val="105"/>
        </w:rPr>
        <w:t>MUNICIPAL</w:t>
        <w:tab/>
        <w:t>CONTADOR</w:t>
      </w:r>
    </w:p>
    <w:sectPr>
      <w:pgSz w:w="11910" w:h="16840"/>
      <w:pgMar w:header="584" w:footer="516" w:top="1440" w:bottom="7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200001pt;margin-top:805.102783pt;width:95pt;height:8.450pt;mso-position-horizontal-relative:page;mso-position-vertical-relative:page;z-index:-2523934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PRONIM CP - Contabilidade Pública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480.670013pt;margin-top:805.102783pt;width:86.4pt;height:8.450pt;mso-position-horizontal-relative:page;mso-position-vertical-relative:page;z-index:-2523924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Emitido em: 24/09/2019 09:09:35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.200001pt;margin-top:28.192799pt;width:56.8pt;height:8.450pt;mso-position-horizontal-relative:page;mso-position-vertical-relative:page;z-index:-2523975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Município: Jacuizinho</w:t>
                </w:r>
              </w:p>
            </w:txbxContent>
          </v:textbox>
          <w10:wrap type="none"/>
        </v:shape>
      </w:pict>
    </w:r>
    <w:r>
      <w:rPr/>
      <w:pict>
        <v:shape style="position:absolute;margin-left:218.350006pt;margin-top:28.192799pt;width:158.550pt;height:21.9pt;mso-position-horizontal-relative:page;mso-position-vertical-relative:page;z-index:-2523965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7" w:right="27"/>
                  <w:jc w:val="center"/>
                </w:pPr>
                <w:r>
                  <w:rPr>
                    <w:w w:val="105"/>
                  </w:rPr>
                  <w:t>UF: Estado do Rio Grande do Sul</w:t>
                </w:r>
              </w:p>
              <w:p>
                <w:pPr>
                  <w:spacing w:before="98"/>
                  <w:ind w:left="27" w:right="27" w:firstLine="0"/>
                  <w:jc w:val="center"/>
                  <w:rPr>
                    <w:b/>
                    <w:sz w:val="15"/>
                  </w:rPr>
                </w:pPr>
                <w:r>
                  <w:rPr>
                    <w:b/>
                    <w:sz w:val="15"/>
                  </w:rPr>
                  <w:t>DEMONSTRAÇÃO DOS FLUXOS DE CAIXA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719971pt;margin-top:28.192799pt;width:37.4pt;height:8.450pt;mso-position-horizontal-relative:page;mso-position-vertical-relative:page;z-index:-2523955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105"/>
                  </w:rPr>
                  <w:t> de 2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200001pt;margin-top:50.872799pt;width:135.35pt;height:19.75pt;mso-position-horizontal-relative:page;mso-position-vertical-relative:page;z-index:-2523944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Período: Exercício de 2018</w:t>
                </w:r>
              </w:p>
              <w:p>
                <w:pPr>
                  <w:pStyle w:val="BodyText"/>
                  <w:spacing w:before="101"/>
                  <w:ind w:left="20"/>
                </w:pPr>
                <w:r>
                  <w:rPr>
                    <w:w w:val="105"/>
                  </w:rPr>
                  <w:t>Unidade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Gestora: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0000</w:t>
                </w:r>
                <w:r>
                  <w:rPr>
                    <w:spacing w:val="-7"/>
                    <w:w w:val="105"/>
                  </w:rPr>
                  <w:t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PREFEITURA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MUNICIPAL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1"/>
      <w:szCs w:val="11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40"/>
      <w:jc w:val="right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PRONIM</dc:creator>
  <dc:subject>CP920005</dc:subject>
  <dc:title>Report</dc:title>
  <dcterms:created xsi:type="dcterms:W3CDTF">2019-09-30T19:31:14Z</dcterms:created>
  <dcterms:modified xsi:type="dcterms:W3CDTF">2019-09-30T19:31:14Z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2019-09-30T00:00:00Z</vt:filetime>
  </property>
</Properties>
</file>