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4" w:rsidRDefault="00C104A4" w:rsidP="00C104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04A4" w:rsidRDefault="00A903FC" w:rsidP="00C104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C104A4" w:rsidRDefault="00C104A4" w:rsidP="00C104A4">
      <w:pPr>
        <w:jc w:val="center"/>
        <w:rPr>
          <w:rFonts w:ascii="Arial" w:hAnsi="Arial" w:cs="Arial"/>
          <w:b/>
          <w:sz w:val="24"/>
          <w:szCs w:val="24"/>
        </w:rPr>
      </w:pPr>
    </w:p>
    <w:p w:rsidR="00C104A4" w:rsidRDefault="00C104A4" w:rsidP="00C104A4">
      <w:pPr>
        <w:jc w:val="center"/>
        <w:rPr>
          <w:rFonts w:ascii="Arial" w:hAnsi="Arial" w:cs="Arial"/>
          <w:sz w:val="24"/>
          <w:szCs w:val="24"/>
        </w:rPr>
      </w:pPr>
      <w:r w:rsidRPr="00C104A4">
        <w:rPr>
          <w:rFonts w:ascii="Arial" w:hAnsi="Arial" w:cs="Arial"/>
          <w:b/>
          <w:sz w:val="24"/>
          <w:szCs w:val="24"/>
        </w:rPr>
        <w:t>CONHECIMENTOS ESPECÍFICOS FARMACÊUTICO</w:t>
      </w:r>
      <w:r>
        <w:rPr>
          <w:rFonts w:ascii="Arial" w:hAnsi="Arial" w:cs="Arial"/>
          <w:sz w:val="24"/>
          <w:szCs w:val="24"/>
        </w:rPr>
        <w:t>:</w:t>
      </w:r>
    </w:p>
    <w:p w:rsidR="00C104A4" w:rsidRDefault="00C104A4" w:rsidP="00C104A4">
      <w:pPr>
        <w:jc w:val="both"/>
        <w:rPr>
          <w:rFonts w:ascii="Arial" w:hAnsi="Arial" w:cs="Arial"/>
          <w:sz w:val="24"/>
          <w:szCs w:val="24"/>
        </w:rPr>
      </w:pPr>
      <w:r w:rsidRPr="00C104A4">
        <w:rPr>
          <w:rFonts w:ascii="Arial" w:hAnsi="Arial" w:cs="Arial"/>
          <w:sz w:val="24"/>
          <w:szCs w:val="24"/>
        </w:rPr>
        <w:t xml:space="preserve">Conteúdos Programáticos: Atenção e Assistência farmacêutica. Biossegurança. Boas Práticas de Fabricação e controle de qualidade na produção de medicamentos. Cálculos farmacêuticos. Controle sanitário do comércio de insumos, medicamentos e correlatos. Educação Sanitária. Ética na profissão farmacêutica e Responsabilidade técnica de estabelecimentos. Farmacologia. Farmacovigilância e Farmacoepidemiologia. Interações medicamentosas. Legislação. Manipulação de medicamentos. Medicamentos controlados e de alta vigilância. Noções sobre atividades administrativas e gerenciais na assistência farmacêutica: planejamento de atividades, elaboração de procedimentos, organização, logística e administração de materiais, acompanhamentos físico-financeiros, controle de estoque, ponto de ressuprimento. Política Nacional de Medicamentos. Blocos de financiamento da assistencia farmaceutica Procedimentos de fiscalização. Seleção, Programação, Aquisição, Armazenamento, Distribuição e Dispensação de medicamentos. Sistemas de distribuição de medicamentos. Trabalho em saúde e práticas do farmacêutico. Uso racional de medicamentos e reações adversas. Noções sobre os protocolos clínicos e diretrizes farmacêuticas. Bibliografia Sugerida: ALLEN LV JR, POPOVICH NG, ANSEL HC. Formas farmacêuticas e sistemas de liberação de fármacos. 9ª ed. Porto Alegre: Artmed, 2013. DOS SANTOS L, TORRIANI MS, BARROS E. Medicamentos na prática clínica. Porto Alegre: Artmed, 2013. BISSON MP. Farmácia clínica e atenção farmacêutica. 2ª Edição, São Paulo: Manole, 2016. BRASIL. Resoluções ANVISA. BRASIL. Portarias do Ministério da Saúde. BRASIL. Ministério da Saúde. Diretrizes para estruturação de farmácias no âmbito do Sistema Único de Saúde. Brasília: Ministério da Saúde, 2009. 44 p. BRASIL. PORTARIA Nº 1.555, DE 30 DE JULHO DE 2013 – Dispõe sobre as normas de financiamento e de execução do Componente Básico da Assistência Farmacêutica no âmbito do Sistema Único de Saúde (SUS). BRASIL. PORTARIA Nº 1.554, DE 30 DE JULHO DE 2013 - Dispõe sobre as regras de financiamento e execução do Componente Especializado da Assistência Farmacêutica no âmbito do Sistema Único de Saúde (SUS). BRASIL. Ministério da Saúde. Secretaria de Ciência, Tecnologia e Insumos Estratégicos. Departamento de Assistência Famacêutica e Insumos Estratégicos. Da excepcionalidade às linhas de cuidado: o Componente Especializado da Assistência Farmacêutica. / Ministério da Saúde, Secretaria de Ciência, Tecnologia e Insumos Estratégicos, Departamento de Assistência Famacêutica e Insumos Estratégicos. – Brasília : Ministério da Saúde, 2010. BRASIL. Consolidação das normas sobre as </w:t>
      </w:r>
    </w:p>
    <w:p w:rsidR="00C104A4" w:rsidRDefault="00C104A4" w:rsidP="00C104A4">
      <w:pPr>
        <w:jc w:val="both"/>
        <w:rPr>
          <w:rFonts w:ascii="Arial" w:hAnsi="Arial" w:cs="Arial"/>
          <w:sz w:val="24"/>
          <w:szCs w:val="24"/>
        </w:rPr>
      </w:pPr>
    </w:p>
    <w:p w:rsidR="00C104A4" w:rsidRDefault="00C104A4" w:rsidP="00C104A4">
      <w:pPr>
        <w:jc w:val="both"/>
        <w:rPr>
          <w:rFonts w:ascii="Arial" w:hAnsi="Arial" w:cs="Arial"/>
          <w:sz w:val="24"/>
          <w:szCs w:val="24"/>
        </w:rPr>
      </w:pPr>
    </w:p>
    <w:p w:rsidR="00A07386" w:rsidRPr="00C104A4" w:rsidRDefault="00C104A4" w:rsidP="00C104A4">
      <w:pPr>
        <w:jc w:val="both"/>
        <w:rPr>
          <w:rFonts w:ascii="Arial" w:hAnsi="Arial" w:cs="Arial"/>
          <w:sz w:val="24"/>
          <w:szCs w:val="24"/>
        </w:rPr>
      </w:pPr>
      <w:r w:rsidRPr="00C104A4">
        <w:rPr>
          <w:rFonts w:ascii="Arial" w:hAnsi="Arial" w:cs="Arial"/>
          <w:sz w:val="24"/>
          <w:szCs w:val="24"/>
        </w:rPr>
        <w:t>políticas nacionais de saúde do Sistema Único de Saúde - PORTARIA DE CONSOLIDAÇÃO Nº 2, DE 28 DE SETEMBRO DE 2017, disponível em http://bvsms.saude.gov.br/bvs/saudelegis/gm/2017/prc0002_03_10_2017.html. BRUNTON LL, CHABNER BA, KNOLLMANN BC. As bases farmacológicas da terapêutica de Goodman e Gilman. 12ª Edição. Rio de Janeiro: McGraw-Hill, 2012. CAVALLINI, Míriam Elias. Farmácia hospitalar: um enfoque em sistemas de saúde. São Paulo: Manole, 2010. CONSELHO FEDERAL DE FARMÁCIA (CFF). Resolução nº 539 de 22 de outubro de 2010. Dispõe sobre o exercício profissional e as atribuições privativas e afins do farmacêutico nos Órgãos de Vigilância Sanitária, e dá outras providência. CONSELHO FEDERAL DE FARMÁCIA (CFF). Resolução nº 577 de 25 de julho de 2013. Dispõe sobre a direção técnica ou responsabilidade técnica de empresas ou estabelecimentos que dispensam, comercializam, fornecem e distribuem produtos farmacêuticos, cosméticos e produtos para a saúde. CONSELHO FEDERAL DE FARMÁCIA (CFF). Resolução nº 596 de 21 de fevereiro de 2014. Dispõe sobre o Código de Ética da Profissão Farmacêutica. Município de Esteio/RS Concurso Público - Edital de Abertura nº 02/2019 79 Execução: Fundação La Salle HIRATA MH, MANCINI FILHO J, HIRATA RDC. Manual de Biossegurança. 3ª Edição, São Paulo: Editora Manole, 2017. NOVAES, Maria Rita Carvalho Garbi et al. Guia de boas práticas em farmácia hospitalar serviços de saúde. São Paulo: Vide o Verso, 2009. STORPIRTIS, Sílvia et al. Farmácia clínica e atenção farmacêutica. Rio de Janeiro: Guanabara Koogan, 2013</w:t>
      </w:r>
    </w:p>
    <w:sectPr w:rsidR="00A07386" w:rsidRPr="00C10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4"/>
    <w:rsid w:val="001F1961"/>
    <w:rsid w:val="00A07386"/>
    <w:rsid w:val="00A75630"/>
    <w:rsid w:val="00A903FC"/>
    <w:rsid w:val="00C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B085-0F25-4545-9912-7D57E3F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Roberto Diego</cp:lastModifiedBy>
  <cp:revision>2</cp:revision>
  <cp:lastPrinted>2020-01-29T11:30:00Z</cp:lastPrinted>
  <dcterms:created xsi:type="dcterms:W3CDTF">2020-01-29T13:39:00Z</dcterms:created>
  <dcterms:modified xsi:type="dcterms:W3CDTF">2020-01-29T13:39:00Z</dcterms:modified>
</cp:coreProperties>
</file>